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158A79A8" w:rsidR="005C2ED9" w:rsidRPr="00A85195"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6071E6">
        <w:rPr>
          <w:rFonts w:ascii="Arial" w:eastAsia="Arial Unicode MS" w:hAnsi="Arial" w:cs="Arial" w:hint="eastAsia"/>
          <w:b/>
          <w:bCs/>
          <w:sz w:val="24"/>
          <w:lang w:eastAsia="ko-KR"/>
        </w:rPr>
        <w:t>5</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w:t>
      </w:r>
      <w:r w:rsidR="00A85195">
        <w:rPr>
          <w:rFonts w:ascii="Arial" w:eastAsiaTheme="minorEastAsia" w:hAnsi="Arial" w:hint="eastAsia"/>
          <w:b/>
          <w:i/>
          <w:color w:val="auto"/>
          <w:sz w:val="28"/>
          <w:lang w:eastAsia="ko-KR"/>
        </w:rPr>
        <w:t>10235</w:t>
      </w:r>
    </w:p>
    <w:p w14:paraId="3BDDA17D" w14:textId="05C27BEC" w:rsidR="005C2ED9" w:rsidRPr="009A120A" w:rsidRDefault="006071E6"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Hyderabad</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Oct</w:t>
      </w:r>
      <w:r w:rsidR="005C2ED9" w:rsidRPr="009A120A">
        <w:rPr>
          <w:rFonts w:ascii="Arial" w:eastAsia="Arial Unicode MS" w:hAnsi="Arial" w:cs="Arial"/>
          <w:b/>
          <w:bCs/>
          <w:sz w:val="24"/>
        </w:rPr>
        <w:t xml:space="preserve"> </w:t>
      </w:r>
      <w:r w:rsidR="00157F9C">
        <w:rPr>
          <w:rFonts w:ascii="Arial" w:eastAsiaTheme="minorEastAsia" w:hAnsi="Arial" w:cs="Arial" w:hint="eastAsia"/>
          <w:b/>
          <w:bCs/>
          <w:sz w:val="24"/>
          <w:lang w:eastAsia="ko-KR"/>
        </w:rPr>
        <w:t>1</w:t>
      </w:r>
      <w:r>
        <w:rPr>
          <w:rFonts w:ascii="Arial" w:eastAsiaTheme="minorEastAsia" w:hAnsi="Arial" w:cs="Arial" w:hint="eastAsia"/>
          <w:b/>
          <w:bCs/>
          <w:sz w:val="24"/>
          <w:lang w:eastAsia="ko-KR"/>
        </w:rPr>
        <w:t>4</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Arial Unicode MS" w:hAnsi="Arial" w:cs="Arial" w:hint="eastAsia"/>
          <w:b/>
          <w:bCs/>
          <w:sz w:val="24"/>
          <w:lang w:eastAsia="ko-KR"/>
        </w:rPr>
        <w:t>18</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36CC9473"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0A7B7E">
        <w:rPr>
          <w:rFonts w:ascii="Arial" w:hAnsi="Arial" w:cs="Arial" w:hint="eastAsia"/>
          <w:b/>
          <w:lang w:eastAsia="ko-KR"/>
        </w:rPr>
        <w:t xml:space="preserve">A new solution: </w:t>
      </w:r>
      <w:r w:rsidR="00157F9C">
        <w:rPr>
          <w:rFonts w:ascii="Arial" w:hAnsi="Arial" w:cs="Arial" w:hint="eastAsia"/>
          <w:b/>
          <w:lang w:eastAsia="ko-KR"/>
        </w:rPr>
        <w:t xml:space="preserve">AIoT data </w:t>
      </w:r>
      <w:r w:rsidR="006071E6">
        <w:rPr>
          <w:rFonts w:ascii="Arial" w:hAnsi="Arial" w:cs="Arial" w:hint="eastAsia"/>
          <w:b/>
          <w:lang w:eastAsia="ko-KR"/>
        </w:rPr>
        <w:t>aggregation control</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55282C6"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DB7AF0">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6E63B091" w:rsidR="005C2ED9" w:rsidRPr="009A120A" w:rsidRDefault="005C2ED9" w:rsidP="005C2ED9">
      <w:pPr>
        <w:jc w:val="both"/>
        <w:rPr>
          <w:rFonts w:ascii="Arial" w:hAnsi="Arial" w:cs="Arial"/>
          <w:i/>
          <w:lang w:eastAsia="ko-KR"/>
        </w:rPr>
      </w:pPr>
      <w:r w:rsidRPr="009A120A">
        <w:rPr>
          <w:rFonts w:ascii="Arial" w:hAnsi="Arial" w:cs="Arial"/>
          <w:i/>
        </w:rPr>
        <w:t xml:space="preserve">Abstract: a new solution to </w:t>
      </w:r>
      <w:r w:rsidR="006071E6">
        <w:rPr>
          <w:rFonts w:ascii="Arial" w:hAnsi="Arial" w:cs="Arial" w:hint="eastAsia"/>
          <w:i/>
          <w:lang w:eastAsia="ko-KR"/>
        </w:rPr>
        <w:t>control AIoT data aggregation before forwarding to the consumer AF</w:t>
      </w:r>
    </w:p>
    <w:p w14:paraId="5D3F7A56" w14:textId="77777777" w:rsidR="005C2ED9" w:rsidRPr="009A120A" w:rsidRDefault="005C2ED9" w:rsidP="005C2ED9">
      <w:pPr>
        <w:pStyle w:val="Heading1"/>
      </w:pPr>
      <w:r w:rsidRPr="009A120A">
        <w:t>1. Introduction/Discussion</w:t>
      </w:r>
    </w:p>
    <w:p w14:paraId="0BA30315" w14:textId="1FD7B218" w:rsidR="001315B4" w:rsidRDefault="001315B4" w:rsidP="005C2ED9">
      <w:pPr>
        <w:jc w:val="both"/>
        <w:rPr>
          <w:lang w:eastAsia="zh-CN"/>
        </w:rPr>
      </w:pPr>
      <w:r>
        <w:rPr>
          <w:lang w:eastAsia="zh-CN"/>
        </w:rPr>
        <w:t xml:space="preserve">This contribution is prepared to </w:t>
      </w:r>
      <w:r w:rsidR="00030327">
        <w:rPr>
          <w:rFonts w:hint="eastAsia"/>
          <w:lang w:eastAsia="ko-KR"/>
        </w:rPr>
        <w:t>propose a new solution for Ambient IoT</w:t>
      </w:r>
      <w:r>
        <w:rPr>
          <w:lang w:eastAsia="zh-CN"/>
        </w:rPr>
        <w:t>.</w:t>
      </w:r>
    </w:p>
    <w:p w14:paraId="62F6D104" w14:textId="77777777" w:rsidR="005C2ED9" w:rsidRPr="009A120A" w:rsidRDefault="005C2ED9" w:rsidP="005C2ED9">
      <w:pPr>
        <w:pStyle w:val="Heading1"/>
      </w:pPr>
      <w:r w:rsidRPr="009A120A">
        <w:t>2. Text Proposal</w:t>
      </w:r>
    </w:p>
    <w:p w14:paraId="4D7F3CBD" w14:textId="48DE6E53"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6071E6">
        <w:rPr>
          <w:rFonts w:hint="eastAsia"/>
          <w:lang w:eastAsia="ko-KR"/>
        </w:rPr>
        <w:t>1</w:t>
      </w:r>
      <w:r w:rsidR="0038132A">
        <w:rPr>
          <w:lang w:eastAsia="zh-CN"/>
        </w:rPr>
        <w:t>.</w:t>
      </w:r>
      <w:r w:rsidR="006071E6">
        <w:rPr>
          <w:rFonts w:hint="eastAsia"/>
          <w:lang w:eastAsia="ko-KR"/>
        </w:rPr>
        <w:t>0</w:t>
      </w:r>
      <w:r w:rsidR="0038132A">
        <w:rPr>
          <w:lang w:eastAsia="zh-CN"/>
        </w:rPr>
        <w:t>.0</w:t>
      </w:r>
      <w:r>
        <w:rPr>
          <w:lang w:eastAsia="zh-CN"/>
        </w:rPr>
        <w:t>.</w:t>
      </w:r>
      <w:bookmarkStart w:id="0" w:name="_Toc517082226"/>
      <w:bookmarkStart w:id="1" w:name="_Toc519004414"/>
    </w:p>
    <w:p w14:paraId="0A195C61" w14:textId="57147CA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sidR="00642780">
        <w:rPr>
          <w:rFonts w:ascii="Arial" w:hAnsi="Arial" w:hint="eastAsia"/>
          <w:i/>
          <w:color w:val="FF0000"/>
          <w:sz w:val="24"/>
          <w:lang w:val="en-US" w:eastAsia="ko-KR"/>
        </w:rPr>
        <w:t>(All text is new)</w:t>
      </w:r>
    </w:p>
    <w:p w14:paraId="2A5D3137" w14:textId="53B56C64" w:rsidR="00427857" w:rsidRPr="00172C4D" w:rsidRDefault="00427857" w:rsidP="00427857">
      <w:pPr>
        <w:keepNext/>
        <w:keepLines/>
        <w:spacing w:before="180"/>
        <w:ind w:left="1134" w:hanging="1134"/>
        <w:outlineLvl w:val="1"/>
        <w:rPr>
          <w:rFonts w:ascii="Arial" w:eastAsiaTheme="minorEastAsia" w:hAnsi="Arial"/>
          <w:color w:val="auto"/>
          <w:sz w:val="32"/>
          <w:lang w:eastAsia="ko-KR"/>
        </w:rPr>
      </w:pPr>
      <w:bookmarkStart w:id="3" w:name="_Toc160698660"/>
      <w:bookmarkEnd w:id="2"/>
      <w:r w:rsidRPr="00427857">
        <w:rPr>
          <w:rFonts w:ascii="Arial" w:eastAsia="Times New Roman" w:hAnsi="Arial"/>
          <w:color w:val="auto"/>
          <w:sz w:val="32"/>
          <w:lang w:eastAsia="en-GB"/>
        </w:rPr>
        <w:t>6.</w:t>
      </w:r>
      <w:r w:rsidR="009471C8" w:rsidRPr="00642780">
        <w:rPr>
          <w:rFonts w:ascii="Arial" w:eastAsia="Times New Roman" w:hAnsi="Arial" w:hint="eastAsia"/>
          <w:color w:val="auto"/>
          <w:sz w:val="32"/>
          <w:lang w:eastAsia="en-GB"/>
        </w:rPr>
        <w:t>x</w:t>
      </w:r>
      <w:r w:rsidRPr="00427857">
        <w:rPr>
          <w:rFonts w:ascii="Arial" w:eastAsia="Times New Roman" w:hAnsi="Arial"/>
          <w:color w:val="auto"/>
          <w:sz w:val="32"/>
          <w:lang w:eastAsia="en-GB"/>
        </w:rPr>
        <w:tab/>
        <w:t>Solution #</w:t>
      </w:r>
      <w:r w:rsidR="009471C8" w:rsidRPr="00642780">
        <w:rPr>
          <w:rFonts w:ascii="Arial" w:eastAsia="Times New Roman" w:hAnsi="Arial" w:hint="eastAsia"/>
          <w:color w:val="auto"/>
          <w:sz w:val="32"/>
          <w:lang w:eastAsia="en-GB"/>
        </w:rPr>
        <w:t>x</w:t>
      </w:r>
      <w:r w:rsidRPr="00427857">
        <w:rPr>
          <w:rFonts w:ascii="Arial" w:eastAsia="Times New Roman" w:hAnsi="Arial"/>
          <w:color w:val="auto"/>
          <w:sz w:val="32"/>
          <w:lang w:eastAsia="en-GB"/>
        </w:rPr>
        <w:t xml:space="preserve">: </w:t>
      </w:r>
      <w:bookmarkEnd w:id="3"/>
      <w:r w:rsidR="00157F9C">
        <w:rPr>
          <w:rFonts w:ascii="Arial" w:eastAsiaTheme="minorEastAsia" w:hAnsi="Arial" w:hint="eastAsia"/>
          <w:color w:val="auto"/>
          <w:sz w:val="32"/>
          <w:lang w:eastAsia="ko-KR"/>
        </w:rPr>
        <w:t xml:space="preserve">AIoT data </w:t>
      </w:r>
      <w:r w:rsidR="00172C4D">
        <w:rPr>
          <w:rFonts w:ascii="Arial" w:eastAsiaTheme="minorEastAsia" w:hAnsi="Arial" w:hint="eastAsia"/>
          <w:color w:val="auto"/>
          <w:sz w:val="32"/>
          <w:lang w:eastAsia="ko-KR"/>
        </w:rPr>
        <w:t>aggregation control</w:t>
      </w:r>
      <w:r w:rsidR="00030327" w:rsidRPr="00642780">
        <w:rPr>
          <w:rFonts w:ascii="Arial" w:eastAsia="Times New Roman" w:hAnsi="Arial"/>
          <w:color w:val="auto"/>
          <w:sz w:val="32"/>
          <w:lang w:eastAsia="en-GB"/>
        </w:rPr>
        <w:t xml:space="preserve"> </w:t>
      </w:r>
    </w:p>
    <w:p w14:paraId="5435E6FE" w14:textId="1ECC2FC0"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4" w:name="_Toc160698661"/>
      <w:r w:rsidRPr="00427857">
        <w:rPr>
          <w:rFonts w:ascii="Arial" w:eastAsia="Times New Roman" w:hAnsi="Arial"/>
          <w:color w:val="auto"/>
          <w:sz w:val="28"/>
          <w:lang w:eastAsia="en-GB"/>
        </w:rPr>
        <w:t>6.</w:t>
      </w:r>
      <w:r w:rsidR="009471C8">
        <w:rPr>
          <w:rFonts w:ascii="Arial" w:eastAsiaTheme="minorEastAsia" w:hAnsi="Arial" w:hint="eastAsia"/>
          <w:color w:val="auto"/>
          <w:sz w:val="28"/>
          <w:lang w:eastAsia="ko-KR"/>
        </w:rPr>
        <w:t>x</w:t>
      </w:r>
      <w:r w:rsidRPr="00427857">
        <w:rPr>
          <w:rFonts w:ascii="Arial" w:eastAsia="Times New Roman" w:hAnsi="Arial"/>
          <w:color w:val="auto"/>
          <w:sz w:val="28"/>
          <w:lang w:eastAsia="en-GB"/>
        </w:rPr>
        <w:t>.1</w:t>
      </w:r>
      <w:r w:rsidRPr="00427857">
        <w:rPr>
          <w:rFonts w:ascii="Arial" w:eastAsia="Times New Roman" w:hAnsi="Arial" w:hint="eastAsia"/>
          <w:color w:val="auto"/>
          <w:sz w:val="28"/>
          <w:lang w:eastAsia="en-GB"/>
        </w:rPr>
        <w:tab/>
        <w:t>Description</w:t>
      </w:r>
      <w:bookmarkEnd w:id="4"/>
    </w:p>
    <w:p w14:paraId="32EB7A36" w14:textId="77777777" w:rsidR="00427857" w:rsidRPr="00427857" w:rsidRDefault="00427857" w:rsidP="00427857">
      <w:pPr>
        <w:rPr>
          <w:rFonts w:eastAsia="DengXian"/>
          <w:color w:val="auto"/>
          <w:lang w:eastAsia="en-GB"/>
        </w:rPr>
      </w:pPr>
      <w:r w:rsidRPr="00427857">
        <w:rPr>
          <w:rFonts w:eastAsia="DengXian"/>
          <w:color w:val="auto"/>
          <w:lang w:eastAsia="en-GB"/>
        </w:rPr>
        <w:t>This solution address aspects of key issue #3 on Support of Ambient IoT Services.</w:t>
      </w:r>
    </w:p>
    <w:p w14:paraId="5AD481C8" w14:textId="0264BEA2" w:rsidR="005B64D8" w:rsidRPr="00172C4D" w:rsidRDefault="00427857" w:rsidP="00427857">
      <w:pPr>
        <w:rPr>
          <w:rFonts w:eastAsia="DengXian"/>
          <w:color w:val="auto"/>
          <w:lang w:eastAsia="en-GB"/>
        </w:rPr>
      </w:pPr>
      <w:r w:rsidRPr="00427857">
        <w:rPr>
          <w:rFonts w:eastAsia="DengXian"/>
          <w:color w:val="auto"/>
          <w:lang w:eastAsia="en-GB"/>
        </w:rPr>
        <w:t xml:space="preserve">This solution </w:t>
      </w:r>
      <w:r w:rsidR="00514C07" w:rsidRPr="00172C4D">
        <w:rPr>
          <w:rFonts w:eastAsia="DengXian" w:hint="eastAsia"/>
          <w:color w:val="auto"/>
          <w:lang w:eastAsia="en-GB"/>
        </w:rPr>
        <w:t>can be</w:t>
      </w:r>
      <w:r w:rsidR="005B64D8" w:rsidRPr="00172C4D">
        <w:rPr>
          <w:rFonts w:eastAsia="DengXian" w:hint="eastAsia"/>
          <w:color w:val="auto"/>
          <w:lang w:eastAsia="en-GB"/>
        </w:rPr>
        <w:t xml:space="preserve"> applied for </w:t>
      </w:r>
      <w:r w:rsidR="00172C4D" w:rsidRPr="00172C4D">
        <w:rPr>
          <w:rFonts w:eastAsia="DengXian" w:hint="eastAsia"/>
          <w:color w:val="auto"/>
          <w:lang w:eastAsia="en-GB"/>
        </w:rPr>
        <w:t>both</w:t>
      </w:r>
      <w:r w:rsidR="005B64D8" w:rsidRPr="00172C4D">
        <w:rPr>
          <w:rFonts w:eastAsia="DengXian" w:hint="eastAsia"/>
          <w:color w:val="auto"/>
          <w:lang w:eastAsia="en-GB"/>
        </w:rPr>
        <w:t xml:space="preserve"> Topology </w:t>
      </w:r>
      <w:r w:rsidR="00172C4D" w:rsidRPr="00172C4D">
        <w:rPr>
          <w:rFonts w:eastAsia="DengXian" w:hint="eastAsia"/>
          <w:color w:val="auto"/>
          <w:lang w:eastAsia="en-GB"/>
        </w:rPr>
        <w:t xml:space="preserve">1 and </w:t>
      </w:r>
      <w:r w:rsidR="005B64D8" w:rsidRPr="00172C4D">
        <w:rPr>
          <w:rFonts w:eastAsia="DengXian" w:hint="eastAsia"/>
          <w:color w:val="auto"/>
          <w:lang w:eastAsia="en-GB"/>
        </w:rPr>
        <w:t xml:space="preserve">2. </w:t>
      </w:r>
    </w:p>
    <w:p w14:paraId="6D927281" w14:textId="746CB98C" w:rsidR="00172C4D" w:rsidRPr="00172C4D" w:rsidRDefault="00172C4D" w:rsidP="00172C4D">
      <w:pPr>
        <w:rPr>
          <w:rFonts w:eastAsia="DengXian"/>
          <w:color w:val="auto"/>
          <w:lang w:eastAsia="en-GB"/>
        </w:rPr>
      </w:pPr>
      <w:r w:rsidRPr="00172C4D">
        <w:rPr>
          <w:rFonts w:eastAsia="DengXian"/>
          <w:color w:val="auto"/>
          <w:lang w:eastAsia="en-GB"/>
        </w:rPr>
        <w:t>In the 3GPP AIoT system, a consumer AF can request the 5GC to communicate with a list of target AIoT devices within the same transaction. In such cases, it would be highly inefficient for the 5GC to provide communication results one by one for each AIoT device, especially considering the large number of devices involved in typical AIoT use cases like inventory services. Therefore, several solutions (i.e., solutions #6, #8, #10, #11, #17, #18, #22, #30, #31, and #33) proposed that the AIoT reader (UE reader or gNB reader), the gNB, and/or the 5GC may aggregate the AIoT data from multiple devices before forwarding it to the consumer AF. However, none of these solutions explicitly explain the criteria for performing the aggregation, how these criteria should be determined (based on which requirements), and how they should be configured for the entity responsible for data aggregation.</w:t>
      </w:r>
    </w:p>
    <w:p w14:paraId="59E4D7EA" w14:textId="29B7D797" w:rsidR="004471CA" w:rsidRPr="00172C4D" w:rsidRDefault="00172C4D" w:rsidP="00172C4D">
      <w:pPr>
        <w:rPr>
          <w:rFonts w:eastAsia="DengXian"/>
          <w:color w:val="auto"/>
          <w:lang w:eastAsia="en-GB"/>
        </w:rPr>
      </w:pPr>
      <w:r w:rsidRPr="00172C4D">
        <w:rPr>
          <w:rFonts w:eastAsia="DengXian"/>
          <w:color w:val="auto"/>
          <w:lang w:eastAsia="en-GB"/>
        </w:rPr>
        <w:t xml:space="preserve">Therefore, this </w:t>
      </w:r>
      <w:r w:rsidRPr="00172C4D">
        <w:rPr>
          <w:rFonts w:eastAsia="DengXian" w:hint="eastAsia"/>
          <w:color w:val="auto"/>
          <w:lang w:eastAsia="en-GB"/>
        </w:rPr>
        <w:t>solution</w:t>
      </w:r>
      <w:r w:rsidRPr="00172C4D">
        <w:rPr>
          <w:rFonts w:eastAsia="DengXian"/>
          <w:color w:val="auto"/>
          <w:lang w:eastAsia="en-GB"/>
        </w:rPr>
        <w:t xml:space="preserve"> outlines the considerations for deciding the aggregation rules and details how the responsible entities can get provisioned with the aggregation policy and perform the aggregation</w:t>
      </w:r>
      <w:r w:rsidR="004471CA" w:rsidRPr="00172C4D">
        <w:rPr>
          <w:rFonts w:eastAsia="DengXian" w:hint="eastAsia"/>
          <w:color w:val="auto"/>
          <w:lang w:eastAsia="en-GB"/>
        </w:rPr>
        <w:t xml:space="preserve">   </w:t>
      </w:r>
    </w:p>
    <w:p w14:paraId="42FA6F5F" w14:textId="14568DE1"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5" w:name="_Toc160698662"/>
      <w:r w:rsidRPr="00427857">
        <w:rPr>
          <w:rFonts w:ascii="Arial" w:eastAsia="Times New Roman" w:hAnsi="Arial"/>
          <w:color w:val="auto"/>
          <w:sz w:val="28"/>
          <w:lang w:eastAsia="en-GB"/>
        </w:rPr>
        <w:lastRenderedPageBreak/>
        <w:t>6.</w:t>
      </w:r>
      <w:r w:rsidR="00A3495B">
        <w:rPr>
          <w:rFonts w:ascii="Arial" w:eastAsiaTheme="minorEastAsia" w:hAnsi="Arial" w:hint="eastAsia"/>
          <w:color w:val="auto"/>
          <w:sz w:val="28"/>
          <w:lang w:eastAsia="ko-KR"/>
        </w:rPr>
        <w:t>x</w:t>
      </w:r>
      <w:r w:rsidRPr="00427857">
        <w:rPr>
          <w:rFonts w:ascii="Arial" w:eastAsia="Times New Roman" w:hAnsi="Arial"/>
          <w:color w:val="auto"/>
          <w:sz w:val="28"/>
          <w:lang w:eastAsia="en-GB"/>
        </w:rPr>
        <w:t>.</w:t>
      </w:r>
      <w:r w:rsidR="00852369">
        <w:rPr>
          <w:rFonts w:ascii="Arial" w:eastAsiaTheme="minorEastAsia" w:hAnsi="Arial" w:hint="eastAsia"/>
          <w:color w:val="auto"/>
          <w:sz w:val="28"/>
          <w:lang w:eastAsia="ko-KR"/>
        </w:rPr>
        <w:t>2</w:t>
      </w:r>
      <w:r w:rsidRPr="00427857">
        <w:rPr>
          <w:rFonts w:ascii="Arial" w:eastAsia="Times New Roman" w:hAnsi="Arial"/>
          <w:color w:val="auto"/>
          <w:sz w:val="28"/>
          <w:lang w:eastAsia="en-GB"/>
        </w:rPr>
        <w:tab/>
        <w:t>Procedures</w:t>
      </w:r>
      <w:bookmarkEnd w:id="5"/>
    </w:p>
    <w:p w14:paraId="424B5014" w14:textId="4652FB69" w:rsidR="00427857" w:rsidRPr="00427857" w:rsidRDefault="00FE47CE" w:rsidP="00514C07">
      <w:pPr>
        <w:keepNext/>
        <w:keepLines/>
        <w:spacing w:before="60"/>
        <w:jc w:val="center"/>
        <w:rPr>
          <w:rFonts w:ascii="Arial" w:eastAsia="Times New Roman" w:hAnsi="Arial"/>
          <w:b/>
          <w:color w:val="auto"/>
          <w:lang w:eastAsia="en-GB"/>
        </w:rPr>
      </w:pPr>
      <w:r>
        <w:object w:dxaOrig="9676" w:dyaOrig="11205" w14:anchorId="0280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60.4pt" o:ole="">
            <v:imagedata r:id="rId12" o:title=""/>
          </v:shape>
          <o:OLEObject Type="Embed" ProgID="Visio.Drawing.15" ShapeID="_x0000_i1025" DrawAspect="Content" ObjectID="_1789553289" r:id="rId13"/>
        </w:object>
      </w:r>
    </w:p>
    <w:p w14:paraId="5E4BE2CF" w14:textId="6BE16677" w:rsidR="00427857" w:rsidRPr="007E4583" w:rsidRDefault="00427857" w:rsidP="00427857">
      <w:pPr>
        <w:keepLines/>
        <w:spacing w:after="240"/>
        <w:jc w:val="center"/>
        <w:rPr>
          <w:rFonts w:ascii="Arial" w:eastAsiaTheme="minorEastAsia" w:hAnsi="Arial"/>
          <w:b/>
          <w:color w:val="auto"/>
          <w:lang w:eastAsia="ko-KR"/>
        </w:rPr>
      </w:pPr>
      <w:r w:rsidRPr="00427857">
        <w:rPr>
          <w:rFonts w:ascii="Arial" w:eastAsia="Times New Roman" w:hAnsi="Arial"/>
          <w:b/>
          <w:color w:val="auto"/>
          <w:lang w:eastAsia="en-GB"/>
        </w:rPr>
        <w:t>Figure 6.</w:t>
      </w:r>
      <w:r w:rsidR="00A3495B">
        <w:rPr>
          <w:rFonts w:ascii="Arial" w:eastAsiaTheme="minorEastAsia" w:hAnsi="Arial" w:hint="eastAsia"/>
          <w:b/>
          <w:color w:val="auto"/>
          <w:lang w:eastAsia="ko-KR"/>
        </w:rPr>
        <w:t>x</w:t>
      </w:r>
      <w:r w:rsidRPr="00427857">
        <w:rPr>
          <w:rFonts w:ascii="Arial" w:eastAsia="Times New Roman" w:hAnsi="Arial"/>
          <w:b/>
          <w:color w:val="auto"/>
          <w:lang w:eastAsia="en-GB"/>
        </w:rPr>
        <w:t>.</w:t>
      </w:r>
      <w:r w:rsidR="006F42B7">
        <w:rPr>
          <w:rFonts w:ascii="Arial" w:eastAsiaTheme="minorEastAsia" w:hAnsi="Arial" w:hint="eastAsia"/>
          <w:b/>
          <w:color w:val="auto"/>
          <w:lang w:eastAsia="ko-KR"/>
        </w:rPr>
        <w:t>2</w:t>
      </w:r>
      <w:r w:rsidRPr="00427857">
        <w:rPr>
          <w:rFonts w:ascii="Arial" w:eastAsia="Times New Roman" w:hAnsi="Arial"/>
          <w:b/>
          <w:color w:val="auto"/>
          <w:lang w:eastAsia="en-GB"/>
        </w:rPr>
        <w:t xml:space="preserve">-1: Information Flow for AIoT </w:t>
      </w:r>
      <w:r w:rsidR="006F42B7">
        <w:rPr>
          <w:rFonts w:ascii="Arial" w:eastAsiaTheme="minorEastAsia" w:hAnsi="Arial" w:hint="eastAsia"/>
          <w:b/>
          <w:color w:val="auto"/>
          <w:lang w:eastAsia="ko-KR"/>
        </w:rPr>
        <w:t>data aggregation</w:t>
      </w:r>
    </w:p>
    <w:p w14:paraId="58C1228E" w14:textId="6E7327F4" w:rsidR="00FE47CE" w:rsidRPr="00FE47CE" w:rsidRDefault="00FE47CE" w:rsidP="00FE47CE">
      <w:pPr>
        <w:pStyle w:val="B1"/>
        <w:numPr>
          <w:ilvl w:val="0"/>
          <w:numId w:val="24"/>
        </w:numPr>
        <w:ind w:left="568" w:hanging="284"/>
        <w:rPr>
          <w:rFonts w:eastAsia="Times New Roman"/>
          <w:color w:val="auto"/>
          <w:lang w:eastAsia="en-GB"/>
        </w:rPr>
      </w:pPr>
      <w:r>
        <w:rPr>
          <w:rFonts w:eastAsiaTheme="minorEastAsia" w:hint="eastAsia"/>
          <w:color w:val="auto"/>
          <w:lang w:eastAsia="ko-KR"/>
        </w:rPr>
        <w:t>T</w:t>
      </w:r>
      <w:r>
        <w:rPr>
          <w:rFonts w:eastAsiaTheme="minorEastAsia"/>
          <w:color w:val="auto"/>
          <w:lang w:eastAsia="ko-KR"/>
        </w:rPr>
        <w:t>h</w:t>
      </w:r>
      <w:r>
        <w:rPr>
          <w:rFonts w:eastAsiaTheme="minorEastAsia" w:hint="eastAsia"/>
          <w:color w:val="auto"/>
          <w:lang w:eastAsia="ko-KR"/>
        </w:rPr>
        <w:t xml:space="preserve">e UE indicates its aggregation capability during the registration procedure. </w:t>
      </w:r>
    </w:p>
    <w:p w14:paraId="09BC2AEA" w14:textId="35D5739D"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AF initiates an AIoT request or subscription. This request/subscription could be for an inventory service using the AIoT devices. The request includes parameters such as the target AIoT devices, expected locations of the target AIoT devices and specific service requirements which include the followings:</w:t>
      </w:r>
    </w:p>
    <w:p w14:paraId="12C713F9" w14:textId="77777777" w:rsidR="006F42B7" w:rsidRPr="006F42B7" w:rsidRDefault="006F42B7" w:rsidP="006F42B7">
      <w:pPr>
        <w:pStyle w:val="ListParagraph"/>
        <w:numPr>
          <w:ilvl w:val="0"/>
          <w:numId w:val="25"/>
        </w:numPr>
        <w:rPr>
          <w:rFonts w:eastAsiaTheme="minorEastAsia"/>
          <w:color w:val="auto"/>
          <w:lang w:eastAsia="ko-KR"/>
        </w:rPr>
      </w:pPr>
      <w:r w:rsidRPr="006F42B7">
        <w:rPr>
          <w:rFonts w:eastAsiaTheme="minorEastAsia"/>
          <w:color w:val="auto"/>
          <w:lang w:eastAsia="ko-KR"/>
        </w:rPr>
        <w:t xml:space="preserve">Report per AIoT device type or category: the AF may want to receive aggregated data from devices of the same type (e.g., temperature sensors, logistics tags) at once to simplify processing and analysis. </w:t>
      </w:r>
    </w:p>
    <w:p w14:paraId="7A55FD70" w14:textId="77777777" w:rsidR="006F42B7" w:rsidRPr="006F42B7" w:rsidRDefault="006F42B7" w:rsidP="006F42B7">
      <w:pPr>
        <w:pStyle w:val="ListParagraph"/>
        <w:numPr>
          <w:ilvl w:val="0"/>
          <w:numId w:val="25"/>
        </w:numPr>
        <w:rPr>
          <w:rFonts w:eastAsiaTheme="minorEastAsia"/>
          <w:color w:val="auto"/>
          <w:lang w:eastAsia="ko-KR"/>
        </w:rPr>
      </w:pPr>
      <w:r w:rsidRPr="006F42B7">
        <w:rPr>
          <w:rFonts w:eastAsiaTheme="minorEastAsia"/>
          <w:color w:val="auto"/>
          <w:lang w:eastAsia="ko-KR"/>
        </w:rPr>
        <w:t xml:space="preserve">Geographical location: the AF may want to receive aggregated data from devices that are located within the same geographical area to improve relevance. </w:t>
      </w:r>
    </w:p>
    <w:p w14:paraId="4FE8A48D" w14:textId="77777777" w:rsidR="006F42B7" w:rsidRPr="006F42B7" w:rsidRDefault="006F42B7" w:rsidP="006F42B7">
      <w:pPr>
        <w:pStyle w:val="ListParagraph"/>
        <w:numPr>
          <w:ilvl w:val="0"/>
          <w:numId w:val="25"/>
        </w:numPr>
        <w:rPr>
          <w:rFonts w:eastAsiaTheme="minorEastAsia"/>
          <w:color w:val="auto"/>
          <w:lang w:eastAsia="ko-KR"/>
        </w:rPr>
      </w:pPr>
      <w:r w:rsidRPr="006F42B7">
        <w:rPr>
          <w:rFonts w:eastAsiaTheme="minorEastAsia"/>
          <w:color w:val="auto"/>
          <w:lang w:eastAsia="ko-KR"/>
        </w:rPr>
        <w:lastRenderedPageBreak/>
        <w:t xml:space="preserve">Time-based aggregation: the AF may want to receive aggregated data within a specific time window to provide time-synchronized information. </w:t>
      </w:r>
    </w:p>
    <w:p w14:paraId="2AFDA099" w14:textId="77777777" w:rsidR="006F42B7" w:rsidRPr="006F42B7" w:rsidRDefault="006F42B7" w:rsidP="006F42B7">
      <w:pPr>
        <w:pStyle w:val="ListParagraph"/>
        <w:numPr>
          <w:ilvl w:val="0"/>
          <w:numId w:val="25"/>
        </w:numPr>
        <w:rPr>
          <w:rFonts w:eastAsiaTheme="minorEastAsia"/>
          <w:color w:val="auto"/>
          <w:lang w:eastAsia="ko-KR"/>
        </w:rPr>
      </w:pPr>
      <w:r w:rsidRPr="006F42B7">
        <w:rPr>
          <w:rFonts w:eastAsiaTheme="minorEastAsia"/>
          <w:color w:val="auto"/>
          <w:lang w:eastAsia="ko-KR"/>
        </w:rPr>
        <w:t xml:space="preserve">Priority or criticality: the AF may want to receive aggregated data from high-priority or critical devices separately from less critical data to ensure timely processing. </w:t>
      </w:r>
    </w:p>
    <w:p w14:paraId="36EA671B" w14:textId="59828A2E"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NEF/AIoTF selects a UE reader based on location information</w:t>
      </w:r>
      <w:r w:rsidR="00D950FB">
        <w:rPr>
          <w:rFonts w:eastAsiaTheme="minorEastAsia" w:hint="eastAsia"/>
          <w:color w:val="auto"/>
          <w:lang w:eastAsia="ko-KR"/>
        </w:rPr>
        <w:t xml:space="preserve"> based on the selection mechanisms captured in solution#11</w:t>
      </w:r>
      <w:r w:rsidRPr="006F42B7">
        <w:rPr>
          <w:rFonts w:eastAsia="Times New Roman"/>
          <w:color w:val="auto"/>
          <w:lang w:eastAsia="en-GB"/>
        </w:rPr>
        <w:t>. This UE reader will be responsible for interacting with the target AIoT devices.</w:t>
      </w:r>
    </w:p>
    <w:p w14:paraId="771D84D2" w14:textId="5FFADBF7"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NEF/AIoTF decides on the aggregation rule. This decision is based on operator policy and the specific service requirements provided by the AF</w:t>
      </w:r>
      <w:r w:rsidR="00FE47CE">
        <w:rPr>
          <w:rFonts w:eastAsiaTheme="minorEastAsia" w:hint="eastAsia"/>
          <w:color w:val="auto"/>
          <w:lang w:eastAsia="ko-KR"/>
        </w:rPr>
        <w:t xml:space="preserve"> as well as the UE aggregation capability indicated in step 0</w:t>
      </w:r>
      <w:r w:rsidRPr="006F42B7">
        <w:rPr>
          <w:rFonts w:eastAsia="Times New Roman"/>
          <w:color w:val="auto"/>
          <w:lang w:eastAsia="en-GB"/>
        </w:rPr>
        <w:t>. These rules will govern how data collected from multiple AIoT devices will be aggregated before being sent back to the AF.</w:t>
      </w:r>
    </w:p>
    <w:p w14:paraId="427D539E" w14:textId="77777777" w:rsidR="006F42B7" w:rsidRPr="006F42B7" w:rsidRDefault="006F42B7" w:rsidP="006F42B7">
      <w:pPr>
        <w:ind w:left="720"/>
        <w:rPr>
          <w:rFonts w:eastAsiaTheme="minorEastAsia"/>
          <w:color w:val="auto"/>
          <w:lang w:eastAsia="ko-KR"/>
        </w:rPr>
      </w:pPr>
      <w:r w:rsidRPr="006F42B7">
        <w:rPr>
          <w:rFonts w:eastAsiaTheme="minorEastAsia"/>
          <w:color w:val="auto"/>
          <w:lang w:eastAsia="ko-KR"/>
        </w:rPr>
        <w:t>The aggregation rule can include the followings:</w:t>
      </w:r>
    </w:p>
    <w:p w14:paraId="5CFD9A74" w14:textId="6D93ADDC" w:rsidR="006F42B7" w:rsidRPr="00D950FB" w:rsidRDefault="006F42B7" w:rsidP="00D950FB">
      <w:pPr>
        <w:pStyle w:val="ListParagraph"/>
        <w:numPr>
          <w:ilvl w:val="0"/>
          <w:numId w:val="26"/>
        </w:numPr>
        <w:rPr>
          <w:rFonts w:eastAsiaTheme="minorEastAsia"/>
          <w:color w:val="auto"/>
          <w:lang w:eastAsia="ko-KR"/>
        </w:rPr>
      </w:pPr>
      <w:r w:rsidRPr="00D950FB">
        <w:rPr>
          <w:rFonts w:eastAsiaTheme="minorEastAsia"/>
          <w:color w:val="auto"/>
          <w:lang w:eastAsia="ko-KR"/>
        </w:rPr>
        <w:t>UE level aggregation</w:t>
      </w:r>
    </w:p>
    <w:p w14:paraId="081B4DFA" w14:textId="77777777" w:rsidR="006F42B7" w:rsidRPr="006F42B7" w:rsidRDefault="006F42B7" w:rsidP="00D950FB">
      <w:pPr>
        <w:pStyle w:val="ListParagraph"/>
        <w:numPr>
          <w:ilvl w:val="1"/>
          <w:numId w:val="26"/>
        </w:numPr>
        <w:rPr>
          <w:rFonts w:eastAsiaTheme="minorEastAsia"/>
          <w:color w:val="auto"/>
          <w:lang w:eastAsia="ko-KR"/>
        </w:rPr>
      </w:pPr>
      <w:r w:rsidRPr="006F42B7">
        <w:rPr>
          <w:rFonts w:eastAsiaTheme="minorEastAsia"/>
          <w:color w:val="auto"/>
          <w:lang w:eastAsia="ko-KR"/>
        </w:rPr>
        <w:t>Per time window</w:t>
      </w:r>
    </w:p>
    <w:p w14:paraId="1A8B30A3" w14:textId="77777777" w:rsidR="006F42B7" w:rsidRPr="006F42B7" w:rsidRDefault="006F42B7" w:rsidP="00D950FB">
      <w:pPr>
        <w:pStyle w:val="ListParagraph"/>
        <w:numPr>
          <w:ilvl w:val="1"/>
          <w:numId w:val="26"/>
        </w:numPr>
        <w:rPr>
          <w:rFonts w:eastAsiaTheme="minorEastAsia"/>
          <w:color w:val="auto"/>
          <w:lang w:eastAsia="ko-KR"/>
        </w:rPr>
      </w:pPr>
      <w:r w:rsidRPr="006F42B7">
        <w:rPr>
          <w:rFonts w:eastAsiaTheme="minorEastAsia"/>
          <w:color w:val="auto"/>
          <w:lang w:eastAsia="ko-KR"/>
        </w:rPr>
        <w:t>Per device type</w:t>
      </w:r>
    </w:p>
    <w:p w14:paraId="68D59542" w14:textId="77777777" w:rsidR="006F42B7" w:rsidRPr="006F42B7" w:rsidRDefault="006F42B7" w:rsidP="00D950FB">
      <w:pPr>
        <w:pStyle w:val="ListParagraph"/>
        <w:numPr>
          <w:ilvl w:val="1"/>
          <w:numId w:val="26"/>
        </w:numPr>
        <w:rPr>
          <w:rFonts w:eastAsiaTheme="minorEastAsia"/>
          <w:color w:val="auto"/>
          <w:lang w:eastAsia="ko-KR"/>
        </w:rPr>
      </w:pPr>
      <w:r w:rsidRPr="006F42B7">
        <w:rPr>
          <w:rFonts w:eastAsiaTheme="minorEastAsia"/>
          <w:color w:val="auto"/>
          <w:lang w:eastAsia="ko-KR"/>
        </w:rPr>
        <w:t>Per priority/criticality level</w:t>
      </w:r>
    </w:p>
    <w:p w14:paraId="64CC0015" w14:textId="77777777" w:rsidR="006F42B7" w:rsidRPr="006F42B7" w:rsidRDefault="006F42B7" w:rsidP="00D950FB">
      <w:pPr>
        <w:pStyle w:val="ListParagraph"/>
        <w:numPr>
          <w:ilvl w:val="1"/>
          <w:numId w:val="26"/>
        </w:numPr>
        <w:rPr>
          <w:rFonts w:eastAsiaTheme="minorEastAsia"/>
          <w:color w:val="auto"/>
          <w:lang w:eastAsia="ko-KR"/>
        </w:rPr>
      </w:pPr>
      <w:r w:rsidRPr="006F42B7">
        <w:rPr>
          <w:rFonts w:eastAsiaTheme="minorEastAsia"/>
          <w:color w:val="auto"/>
          <w:lang w:eastAsia="ko-KR"/>
        </w:rPr>
        <w:t>Per location</w:t>
      </w:r>
    </w:p>
    <w:p w14:paraId="012C102E" w14:textId="77777777" w:rsidR="006F42B7" w:rsidRDefault="006F42B7" w:rsidP="00D950FB">
      <w:pPr>
        <w:pStyle w:val="ListParagraph"/>
        <w:numPr>
          <w:ilvl w:val="1"/>
          <w:numId w:val="26"/>
        </w:numPr>
        <w:spacing w:after="240"/>
        <w:ind w:left="1797" w:hanging="357"/>
        <w:rPr>
          <w:rFonts w:eastAsiaTheme="minorEastAsia"/>
          <w:color w:val="auto"/>
          <w:lang w:eastAsia="ko-KR"/>
        </w:rPr>
      </w:pPr>
      <w:r w:rsidRPr="006F42B7">
        <w:rPr>
          <w:rFonts w:eastAsiaTheme="minorEastAsia"/>
          <w:color w:val="auto"/>
          <w:lang w:eastAsia="ko-KR"/>
        </w:rPr>
        <w:t>Any combination of above</w:t>
      </w:r>
    </w:p>
    <w:p w14:paraId="3CF46B5C" w14:textId="77777777" w:rsidR="00D950FB" w:rsidRPr="006F42B7" w:rsidRDefault="00D950FB" w:rsidP="00D950FB">
      <w:pPr>
        <w:pStyle w:val="ListParagraph"/>
        <w:spacing w:after="240"/>
        <w:ind w:left="1797"/>
        <w:rPr>
          <w:rFonts w:eastAsiaTheme="minorEastAsia"/>
          <w:color w:val="auto"/>
          <w:lang w:eastAsia="ko-KR"/>
        </w:rPr>
      </w:pPr>
    </w:p>
    <w:p w14:paraId="1275736E" w14:textId="3C75BEE5" w:rsidR="006F42B7" w:rsidRPr="00D950FB" w:rsidRDefault="006F42B7" w:rsidP="00D950FB">
      <w:pPr>
        <w:pStyle w:val="ListParagraph"/>
        <w:numPr>
          <w:ilvl w:val="0"/>
          <w:numId w:val="26"/>
        </w:numPr>
        <w:spacing w:before="120"/>
        <w:ind w:left="1077" w:hanging="357"/>
        <w:rPr>
          <w:rFonts w:eastAsiaTheme="minorEastAsia"/>
          <w:color w:val="auto"/>
          <w:lang w:eastAsia="ko-KR"/>
        </w:rPr>
      </w:pPr>
      <w:r w:rsidRPr="00D950FB">
        <w:rPr>
          <w:rFonts w:eastAsiaTheme="minorEastAsia"/>
          <w:color w:val="auto"/>
          <w:lang w:eastAsia="ko-KR"/>
        </w:rPr>
        <w:t>gNB level aggregation (optional)</w:t>
      </w:r>
    </w:p>
    <w:p w14:paraId="3ED9F7B6" w14:textId="77777777" w:rsidR="006F42B7" w:rsidRPr="006F42B7" w:rsidRDefault="006F42B7" w:rsidP="00D950FB">
      <w:pPr>
        <w:pStyle w:val="ListParagraph"/>
        <w:numPr>
          <w:ilvl w:val="1"/>
          <w:numId w:val="27"/>
        </w:numPr>
        <w:rPr>
          <w:rFonts w:eastAsiaTheme="minorEastAsia"/>
          <w:color w:val="auto"/>
          <w:lang w:eastAsia="ko-KR"/>
        </w:rPr>
      </w:pPr>
      <w:r w:rsidRPr="006F42B7">
        <w:rPr>
          <w:rFonts w:eastAsiaTheme="minorEastAsia"/>
          <w:color w:val="auto"/>
          <w:lang w:eastAsia="ko-KR"/>
        </w:rPr>
        <w:t>Per time window</w:t>
      </w:r>
    </w:p>
    <w:p w14:paraId="4B00E1A9" w14:textId="77777777" w:rsidR="006F42B7" w:rsidRDefault="006F42B7" w:rsidP="00D950FB">
      <w:pPr>
        <w:pStyle w:val="ListParagraph"/>
        <w:numPr>
          <w:ilvl w:val="1"/>
          <w:numId w:val="27"/>
        </w:numPr>
        <w:rPr>
          <w:rFonts w:eastAsiaTheme="minorEastAsia"/>
          <w:color w:val="auto"/>
          <w:lang w:eastAsia="ko-KR"/>
        </w:rPr>
      </w:pPr>
      <w:r w:rsidRPr="006F42B7">
        <w:rPr>
          <w:rFonts w:eastAsiaTheme="minorEastAsia"/>
          <w:color w:val="auto"/>
          <w:lang w:eastAsia="ko-KR"/>
        </w:rPr>
        <w:t>Per UE reader</w:t>
      </w:r>
    </w:p>
    <w:p w14:paraId="12C7F178" w14:textId="2AA2AFB2" w:rsidR="00077884" w:rsidRPr="006F42B7" w:rsidRDefault="00077884" w:rsidP="00D950FB">
      <w:pPr>
        <w:pStyle w:val="ListParagraph"/>
        <w:numPr>
          <w:ilvl w:val="1"/>
          <w:numId w:val="27"/>
        </w:numPr>
        <w:rPr>
          <w:rFonts w:eastAsiaTheme="minorEastAsia"/>
          <w:color w:val="auto"/>
          <w:lang w:eastAsia="ko-KR"/>
        </w:rPr>
      </w:pPr>
      <w:r>
        <w:rPr>
          <w:rFonts w:eastAsiaTheme="minorEastAsia" w:hint="eastAsia"/>
          <w:color w:val="auto"/>
          <w:lang w:eastAsia="ko-KR"/>
        </w:rPr>
        <w:t xml:space="preserve">Per cell </w:t>
      </w:r>
    </w:p>
    <w:p w14:paraId="7BDDFF23" w14:textId="77777777" w:rsidR="006F42B7" w:rsidRPr="006F42B7" w:rsidRDefault="006F42B7" w:rsidP="00D950FB">
      <w:pPr>
        <w:pStyle w:val="ListParagraph"/>
        <w:numPr>
          <w:ilvl w:val="1"/>
          <w:numId w:val="27"/>
        </w:numPr>
        <w:rPr>
          <w:rFonts w:eastAsiaTheme="minorEastAsia"/>
          <w:color w:val="auto"/>
          <w:lang w:eastAsia="ko-KR"/>
        </w:rPr>
      </w:pPr>
      <w:r w:rsidRPr="006F42B7">
        <w:rPr>
          <w:rFonts w:eastAsiaTheme="minorEastAsia"/>
          <w:color w:val="auto"/>
          <w:lang w:eastAsia="ko-KR"/>
        </w:rPr>
        <w:t>Per location</w:t>
      </w:r>
    </w:p>
    <w:p w14:paraId="0E91CD64" w14:textId="77777777" w:rsidR="006F42B7" w:rsidRPr="006F42B7" w:rsidRDefault="006F42B7" w:rsidP="00D950FB">
      <w:pPr>
        <w:pStyle w:val="ListParagraph"/>
        <w:numPr>
          <w:ilvl w:val="1"/>
          <w:numId w:val="27"/>
        </w:numPr>
        <w:rPr>
          <w:rFonts w:eastAsiaTheme="minorEastAsia"/>
          <w:color w:val="auto"/>
          <w:lang w:eastAsia="ko-KR"/>
        </w:rPr>
      </w:pPr>
      <w:r w:rsidRPr="006F42B7">
        <w:rPr>
          <w:rFonts w:eastAsiaTheme="minorEastAsia"/>
          <w:color w:val="auto"/>
          <w:lang w:eastAsia="ko-KR"/>
        </w:rPr>
        <w:t>Per priority/criticality level</w:t>
      </w:r>
    </w:p>
    <w:p w14:paraId="0A81298F" w14:textId="77777777" w:rsidR="006F42B7" w:rsidRPr="006F42B7" w:rsidRDefault="006F42B7" w:rsidP="00D950FB">
      <w:pPr>
        <w:pStyle w:val="ListParagraph"/>
        <w:numPr>
          <w:ilvl w:val="1"/>
          <w:numId w:val="27"/>
        </w:numPr>
        <w:rPr>
          <w:rFonts w:eastAsiaTheme="minorEastAsia"/>
          <w:color w:val="auto"/>
          <w:lang w:eastAsia="ko-KR"/>
        </w:rPr>
      </w:pPr>
      <w:r w:rsidRPr="006F42B7">
        <w:rPr>
          <w:rFonts w:eastAsiaTheme="minorEastAsia"/>
          <w:color w:val="auto"/>
          <w:lang w:eastAsia="ko-KR"/>
        </w:rPr>
        <w:t>Any combination of above</w:t>
      </w:r>
    </w:p>
    <w:p w14:paraId="5D5919A6" w14:textId="5053D726"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NEF/AIoTF sends an AIoT request to the gNB over the AMF. This request includes the AIoT session ID, the target AIoT devices, and the aggregation rule that was decided in Step 3.</w:t>
      </w:r>
    </w:p>
    <w:p w14:paraId="4D6CE5E8" w14:textId="2CAAB43E"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gNB</w:t>
      </w:r>
      <w:r w:rsidRPr="006F42B7">
        <w:rPr>
          <w:rFonts w:eastAsia="Times New Roman" w:hint="eastAsia"/>
          <w:color w:val="auto"/>
          <w:lang w:eastAsia="en-GB"/>
        </w:rPr>
        <w:t xml:space="preserve"> may</w:t>
      </w:r>
      <w:r w:rsidRPr="006F42B7">
        <w:rPr>
          <w:rFonts w:eastAsia="Times New Roman"/>
          <w:color w:val="auto"/>
          <w:lang w:eastAsia="en-GB"/>
        </w:rPr>
        <w:t xml:space="preserve"> appl</w:t>
      </w:r>
      <w:r w:rsidRPr="006F42B7">
        <w:rPr>
          <w:rFonts w:eastAsia="Times New Roman" w:hint="eastAsia"/>
          <w:color w:val="auto"/>
          <w:lang w:eastAsia="en-GB"/>
        </w:rPr>
        <w:t>y</w:t>
      </w:r>
      <w:r w:rsidRPr="006F42B7">
        <w:rPr>
          <w:rFonts w:eastAsia="Times New Roman"/>
          <w:color w:val="auto"/>
          <w:lang w:eastAsia="en-GB"/>
        </w:rPr>
        <w:t xml:space="preserve"> the aggregation policy as directed by the NEF/AIoTF. This step ensures that the gNB correctly handles data from AIoT devices according to the policy.</w:t>
      </w:r>
    </w:p>
    <w:p w14:paraId="1F598E05" w14:textId="4073B9F2"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gNB forwards the AIoT request, including the AIoT session ID, target AIoT devices, and aggregation policy, to the UE reader. The gNB instructs the selected UE reader to apply the aggregation policy.</w:t>
      </w:r>
    </w:p>
    <w:p w14:paraId="2ADACCB3" w14:textId="26141A97" w:rsidR="006F42B7" w:rsidRPr="006F42B7" w:rsidRDefault="006F42B7" w:rsidP="006F42B7">
      <w:pPr>
        <w:pStyle w:val="B1"/>
        <w:numPr>
          <w:ilvl w:val="0"/>
          <w:numId w:val="24"/>
        </w:numPr>
        <w:ind w:left="568" w:hanging="284"/>
        <w:rPr>
          <w:rFonts w:eastAsia="Times New Roman"/>
          <w:color w:val="auto"/>
          <w:lang w:eastAsia="en-GB"/>
        </w:rPr>
      </w:pPr>
      <w:r w:rsidRPr="006F42B7">
        <w:rPr>
          <w:rFonts w:eastAsia="Times New Roman"/>
          <w:color w:val="auto"/>
          <w:lang w:eastAsia="en-GB"/>
        </w:rPr>
        <w:t>The UE reader applies the aggregation policy as directed by the NEF/AIoTF. This step ensures that the UE reader correctly handles data from AIoT devices according to the policy.</w:t>
      </w:r>
    </w:p>
    <w:p w14:paraId="35C2F4D2" w14:textId="14B2A157"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The UE reader begins communication with the AIoT devices, collecting data as per the AIoT request.</w:t>
      </w:r>
    </w:p>
    <w:p w14:paraId="340E06EF" w14:textId="7EC7D75C"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The UE reader aggregates the data collected from the AIoT devices according to the applied aggregation policy.</w:t>
      </w:r>
    </w:p>
    <w:p w14:paraId="7026E2F7" w14:textId="77777777" w:rsidR="000A557E" w:rsidRPr="000A557E" w:rsidRDefault="000A557E" w:rsidP="0029173B">
      <w:pPr>
        <w:pStyle w:val="B1"/>
        <w:numPr>
          <w:ilvl w:val="0"/>
          <w:numId w:val="24"/>
        </w:numPr>
        <w:ind w:left="568" w:hanging="284"/>
        <w:rPr>
          <w:rFonts w:eastAsia="Times New Roman"/>
          <w:color w:val="auto"/>
          <w:lang w:eastAsia="en-GB"/>
        </w:rPr>
      </w:pPr>
      <w:r w:rsidRPr="000A557E">
        <w:rPr>
          <w:rFonts w:eastAsia="Times New Roman"/>
          <w:color w:val="auto"/>
          <w:lang w:eastAsia="en-GB"/>
        </w:rPr>
        <w:t xml:space="preserve">The UE reader sends the aggregated data back to the gNB. The response includes the AIoT session ID, the aggregated data, AIoT device IDs, and a flag indicating the completion of data reporting. If data reporting is complete, the flag is set to be a specific value like “true” or “false” otherwise. In some cases, a portion of the AIoT data may be aggregated and reported first, with the remaining data being reported in subsequent messages. The flag is used to indicate whether the UE has finished reporting all AIoT data within the same AIoT session. </w:t>
      </w:r>
    </w:p>
    <w:p w14:paraId="1049F1AE" w14:textId="24B5DE89"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 xml:space="preserve">If multiple UE readers are involved, the gNB aggregates data from all the UE readers to compile a comprehensive dataset according to the aggregation rule that was decided in </w:t>
      </w:r>
      <w:r w:rsidR="00077884">
        <w:rPr>
          <w:rFonts w:eastAsiaTheme="minorEastAsia" w:hint="eastAsia"/>
          <w:color w:val="auto"/>
          <w:lang w:eastAsia="ko-KR"/>
        </w:rPr>
        <w:t>S</w:t>
      </w:r>
      <w:r w:rsidRPr="0029173B">
        <w:rPr>
          <w:rFonts w:eastAsia="Times New Roman"/>
          <w:color w:val="auto"/>
          <w:lang w:eastAsia="en-GB"/>
        </w:rPr>
        <w:t xml:space="preserve">tep </w:t>
      </w:r>
      <w:r w:rsidR="00077884">
        <w:rPr>
          <w:rFonts w:eastAsiaTheme="minorEastAsia" w:hint="eastAsia"/>
          <w:color w:val="auto"/>
          <w:lang w:eastAsia="ko-KR"/>
        </w:rPr>
        <w:t>3</w:t>
      </w:r>
      <w:r w:rsidRPr="0029173B">
        <w:rPr>
          <w:rFonts w:eastAsia="Times New Roman"/>
          <w:color w:val="auto"/>
          <w:lang w:eastAsia="en-GB"/>
        </w:rPr>
        <w:t>.</w:t>
      </w:r>
    </w:p>
    <w:p w14:paraId="45303A39" w14:textId="3F79161D"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The gNB sends the AIoT response back to the NEF/AIoTF, including the AIoT session ID, the list of target AIoT devices, the aggregated data, and a flag indicating completion.</w:t>
      </w:r>
    </w:p>
    <w:p w14:paraId="0E1259DE" w14:textId="580D448A"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The NEF/AIoTF may perform further aggregation at the session level if needed, combining data from various sources into a final format.</w:t>
      </w:r>
    </w:p>
    <w:p w14:paraId="63F0A755" w14:textId="5B80D5B9" w:rsidR="006F42B7" w:rsidRPr="0029173B" w:rsidRDefault="006F42B7" w:rsidP="0029173B">
      <w:pPr>
        <w:pStyle w:val="B1"/>
        <w:numPr>
          <w:ilvl w:val="0"/>
          <w:numId w:val="24"/>
        </w:numPr>
        <w:ind w:left="568" w:hanging="284"/>
        <w:rPr>
          <w:rFonts w:eastAsia="Times New Roman"/>
          <w:color w:val="auto"/>
          <w:lang w:eastAsia="en-GB"/>
        </w:rPr>
      </w:pPr>
      <w:r w:rsidRPr="0029173B">
        <w:rPr>
          <w:rFonts w:eastAsia="Times New Roman"/>
          <w:color w:val="auto"/>
          <w:lang w:eastAsia="en-GB"/>
        </w:rPr>
        <w:t>The NEF/AIoTF sends the final AIoT response to the AF, including the target AIoT devices, the fully aggregated data, and the end flag, indicating that the data processing is complete. If not completed, further AIoT responses can be provided until the session is completed.</w:t>
      </w:r>
    </w:p>
    <w:p w14:paraId="32FCC135" w14:textId="77777777" w:rsidR="00963F00" w:rsidRPr="00963F00" w:rsidRDefault="00963F00" w:rsidP="00963F00">
      <w:pPr>
        <w:ind w:left="720" w:hanging="360"/>
        <w:rPr>
          <w:rFonts w:eastAsiaTheme="minorEastAsia"/>
          <w:color w:val="auto"/>
          <w:lang w:eastAsia="ko-KR"/>
        </w:rPr>
      </w:pPr>
    </w:p>
    <w:p w14:paraId="6CB412E1" w14:textId="6E9FB222" w:rsidR="00427857" w:rsidRPr="00427857" w:rsidRDefault="00427857" w:rsidP="00427857">
      <w:pPr>
        <w:keepNext/>
        <w:keepLines/>
        <w:spacing w:before="120"/>
        <w:ind w:left="1134" w:hanging="1134"/>
        <w:outlineLvl w:val="2"/>
        <w:rPr>
          <w:rFonts w:ascii="Arial" w:eastAsia="Times New Roman" w:hAnsi="Arial"/>
          <w:color w:val="auto"/>
          <w:sz w:val="28"/>
          <w:lang w:eastAsia="zh-CN"/>
        </w:rPr>
      </w:pPr>
      <w:bookmarkStart w:id="6" w:name="_Toc160698663"/>
      <w:r w:rsidRPr="00427857">
        <w:rPr>
          <w:rFonts w:ascii="Arial" w:eastAsia="Times New Roman" w:hAnsi="Arial"/>
          <w:color w:val="auto"/>
          <w:sz w:val="28"/>
          <w:lang w:eastAsia="en-GB"/>
        </w:rPr>
        <w:lastRenderedPageBreak/>
        <w:t>6.</w:t>
      </w:r>
      <w:r w:rsidR="007E4583">
        <w:rPr>
          <w:rFonts w:ascii="Arial" w:eastAsiaTheme="minorEastAsia" w:hAnsi="Arial" w:hint="eastAsia"/>
          <w:color w:val="auto"/>
          <w:sz w:val="28"/>
          <w:lang w:eastAsia="ko-KR"/>
        </w:rPr>
        <w:t>x</w:t>
      </w:r>
      <w:r w:rsidRPr="00427857">
        <w:rPr>
          <w:rFonts w:ascii="Arial" w:eastAsia="Times New Roman" w:hAnsi="Arial"/>
          <w:color w:val="auto"/>
          <w:sz w:val="28"/>
          <w:lang w:eastAsia="en-GB"/>
        </w:rPr>
        <w:t>.</w:t>
      </w:r>
      <w:r w:rsidR="00852369">
        <w:rPr>
          <w:rFonts w:ascii="Arial" w:eastAsiaTheme="minorEastAsia" w:hAnsi="Arial" w:hint="eastAsia"/>
          <w:color w:val="auto"/>
          <w:sz w:val="28"/>
          <w:lang w:eastAsia="ko-KR"/>
        </w:rPr>
        <w:t>3</w:t>
      </w:r>
      <w:r w:rsidRPr="00427857">
        <w:rPr>
          <w:rFonts w:ascii="Arial" w:eastAsia="Times New Roman" w:hAnsi="Arial"/>
          <w:color w:val="auto"/>
          <w:sz w:val="28"/>
          <w:lang w:eastAsia="en-GB"/>
        </w:rPr>
        <w:tab/>
        <w:t>Impacts on services, entities and interfaces</w:t>
      </w:r>
      <w:bookmarkEnd w:id="6"/>
    </w:p>
    <w:p w14:paraId="4823991C" w14:textId="5F7DE992" w:rsidR="009B7BC0" w:rsidRDefault="00820664" w:rsidP="009B7BC0">
      <w:pPr>
        <w:ind w:left="360"/>
        <w:rPr>
          <w:rFonts w:eastAsia="Times New Roman"/>
          <w:color w:val="auto"/>
          <w:lang w:eastAsia="en-GB"/>
        </w:rPr>
      </w:pPr>
      <w:r>
        <w:rPr>
          <w:rFonts w:eastAsiaTheme="minorEastAsia" w:hint="eastAsia"/>
          <w:color w:val="auto"/>
          <w:lang w:eastAsia="ko-KR"/>
        </w:rPr>
        <w:t xml:space="preserve">Entity in 5GC, responsible for AIoT service </w:t>
      </w:r>
      <w:r>
        <w:rPr>
          <w:rFonts w:eastAsiaTheme="minorEastAsia"/>
          <w:color w:val="auto"/>
          <w:lang w:eastAsia="ko-KR"/>
        </w:rPr>
        <w:t>handling</w:t>
      </w:r>
      <w:r>
        <w:rPr>
          <w:rFonts w:eastAsiaTheme="minorEastAsia" w:hint="eastAsia"/>
          <w:color w:val="auto"/>
          <w:lang w:eastAsia="ko-KR"/>
        </w:rPr>
        <w:t xml:space="preserve"> (e.g., AIoTF) </w:t>
      </w:r>
      <w:r w:rsidR="009B7BC0" w:rsidRPr="00A3495B">
        <w:rPr>
          <w:rFonts w:eastAsia="Times New Roman"/>
          <w:color w:val="auto"/>
          <w:lang w:eastAsia="en-GB"/>
        </w:rPr>
        <w:t>:</w:t>
      </w:r>
    </w:p>
    <w:p w14:paraId="7969126D" w14:textId="5F853CCD" w:rsidR="009B7BC0" w:rsidRPr="00077884" w:rsidRDefault="009B7BC0" w:rsidP="00A3495B">
      <w:pPr>
        <w:pStyle w:val="ListParagraph"/>
        <w:numPr>
          <w:ilvl w:val="0"/>
          <w:numId w:val="17"/>
        </w:numPr>
        <w:rPr>
          <w:rFonts w:eastAsia="Times New Roman"/>
          <w:color w:val="auto"/>
          <w:lang w:eastAsia="en-GB"/>
        </w:rPr>
      </w:pPr>
      <w:r>
        <w:rPr>
          <w:rFonts w:eastAsia="Times New Roman"/>
          <w:color w:val="auto"/>
          <w:lang w:eastAsia="en-GB"/>
        </w:rPr>
        <w:t xml:space="preserve">Supports </w:t>
      </w:r>
      <w:r w:rsidR="00077884">
        <w:rPr>
          <w:rFonts w:eastAsiaTheme="minorEastAsia" w:hint="eastAsia"/>
          <w:color w:val="auto"/>
          <w:lang w:eastAsia="ko-KR"/>
        </w:rPr>
        <w:t>determining and providing the aggregation rule considering the AF requirements and the local policy</w:t>
      </w:r>
    </w:p>
    <w:p w14:paraId="60105FAA" w14:textId="44A00292" w:rsidR="00077884" w:rsidRPr="00A3495B" w:rsidRDefault="00077884" w:rsidP="00A3495B">
      <w:pPr>
        <w:pStyle w:val="ListParagraph"/>
        <w:numPr>
          <w:ilvl w:val="0"/>
          <w:numId w:val="17"/>
        </w:numPr>
        <w:rPr>
          <w:rFonts w:eastAsia="Times New Roman"/>
          <w:color w:val="auto"/>
          <w:lang w:eastAsia="en-GB"/>
        </w:rPr>
      </w:pPr>
      <w:r>
        <w:rPr>
          <w:rFonts w:eastAsiaTheme="minorEastAsia"/>
          <w:color w:val="auto"/>
          <w:lang w:eastAsia="ko-KR"/>
        </w:rPr>
        <w:t>S</w:t>
      </w:r>
      <w:r>
        <w:rPr>
          <w:rFonts w:eastAsiaTheme="minorEastAsia" w:hint="eastAsia"/>
          <w:color w:val="auto"/>
          <w:lang w:eastAsia="ko-KR"/>
        </w:rPr>
        <w:t>upports aggregating the AIoT data at the session level.</w:t>
      </w:r>
    </w:p>
    <w:p w14:paraId="60599135" w14:textId="157A6821" w:rsidR="009B7BC0" w:rsidRDefault="00820664" w:rsidP="009B7BC0">
      <w:pPr>
        <w:ind w:left="360"/>
        <w:rPr>
          <w:rFonts w:eastAsia="Times New Roman"/>
          <w:color w:val="auto"/>
          <w:lang w:eastAsia="en-GB"/>
        </w:rPr>
      </w:pPr>
      <w:r>
        <w:rPr>
          <w:rFonts w:eastAsiaTheme="minorEastAsia" w:hint="eastAsia"/>
          <w:color w:val="auto"/>
          <w:lang w:eastAsia="ko-KR"/>
        </w:rPr>
        <w:t xml:space="preserve">AIoT </w:t>
      </w:r>
      <w:r w:rsidR="00C7040D">
        <w:rPr>
          <w:rFonts w:eastAsiaTheme="minorEastAsia" w:hint="eastAsia"/>
          <w:color w:val="auto"/>
          <w:lang w:eastAsia="ko-KR"/>
        </w:rPr>
        <w:t xml:space="preserve">UE </w:t>
      </w:r>
      <w:r>
        <w:rPr>
          <w:rFonts w:eastAsiaTheme="minorEastAsia" w:hint="eastAsia"/>
          <w:color w:val="auto"/>
          <w:lang w:eastAsia="ko-KR"/>
        </w:rPr>
        <w:t>reader</w:t>
      </w:r>
      <w:r w:rsidR="009B7BC0" w:rsidRPr="00A3495B">
        <w:rPr>
          <w:rFonts w:eastAsia="Times New Roman"/>
          <w:color w:val="auto"/>
          <w:lang w:eastAsia="en-GB"/>
        </w:rPr>
        <w:t>:</w:t>
      </w:r>
    </w:p>
    <w:p w14:paraId="6880D5BE" w14:textId="278BF86A" w:rsidR="009B7BC0" w:rsidRPr="002D1586" w:rsidRDefault="009B7BC0" w:rsidP="00A3495B">
      <w:pPr>
        <w:pStyle w:val="ListParagraph"/>
        <w:numPr>
          <w:ilvl w:val="0"/>
          <w:numId w:val="17"/>
        </w:numPr>
        <w:rPr>
          <w:rFonts w:eastAsia="Times New Roman"/>
          <w:color w:val="auto"/>
          <w:lang w:eastAsia="en-GB"/>
        </w:rPr>
      </w:pPr>
      <w:r>
        <w:rPr>
          <w:rFonts w:eastAsia="Times New Roman"/>
          <w:color w:val="auto"/>
          <w:lang w:eastAsia="en-GB"/>
        </w:rPr>
        <w:t xml:space="preserve">Supports </w:t>
      </w:r>
      <w:r w:rsidR="00077884">
        <w:rPr>
          <w:rFonts w:eastAsiaTheme="minorEastAsia" w:hint="eastAsia"/>
          <w:color w:val="auto"/>
          <w:lang w:eastAsia="ko-KR"/>
        </w:rPr>
        <w:t>performing the UE level aggregation according to the aggregation rule provided by the network.</w:t>
      </w:r>
      <w:r>
        <w:rPr>
          <w:rFonts w:eastAsia="Times New Roman"/>
          <w:color w:val="auto"/>
          <w:lang w:eastAsia="en-GB"/>
        </w:rPr>
        <w:t xml:space="preserve"> </w:t>
      </w:r>
    </w:p>
    <w:p w14:paraId="02C18CBA" w14:textId="24B5190B" w:rsidR="002D1586" w:rsidRPr="00A3495B" w:rsidRDefault="002D1586" w:rsidP="00A3495B">
      <w:pPr>
        <w:pStyle w:val="ListParagraph"/>
        <w:numPr>
          <w:ilvl w:val="0"/>
          <w:numId w:val="17"/>
        </w:numPr>
        <w:rPr>
          <w:rFonts w:eastAsia="Times New Roman"/>
          <w:color w:val="auto"/>
          <w:lang w:eastAsia="en-GB"/>
        </w:rPr>
      </w:pPr>
      <w:r>
        <w:rPr>
          <w:rFonts w:eastAsiaTheme="minorEastAsia" w:hint="eastAsia"/>
          <w:color w:val="auto"/>
          <w:lang w:eastAsia="ko-KR"/>
        </w:rPr>
        <w:t>Supports indicating its aggregation capability during the registration procedure</w:t>
      </w:r>
      <w:r w:rsidR="00B705A4">
        <w:rPr>
          <w:rFonts w:eastAsiaTheme="minorEastAsia" w:hint="eastAsia"/>
          <w:color w:val="auto"/>
          <w:lang w:eastAsia="ko-KR"/>
        </w:rPr>
        <w:t>.</w:t>
      </w:r>
    </w:p>
    <w:p w14:paraId="6ABF6625" w14:textId="222498E5" w:rsidR="0038132A" w:rsidRPr="00BC2DBD" w:rsidRDefault="00BC2DBD" w:rsidP="00BC2DBD">
      <w:pPr>
        <w:ind w:left="360"/>
        <w:rPr>
          <w:rFonts w:eastAsiaTheme="minorEastAsia"/>
          <w:color w:val="auto"/>
          <w:lang w:eastAsia="ko-KR"/>
        </w:rPr>
      </w:pPr>
      <w:r w:rsidRPr="00BC2DBD">
        <w:rPr>
          <w:rFonts w:eastAsiaTheme="minorEastAsia" w:hint="eastAsia"/>
          <w:color w:val="auto"/>
          <w:lang w:eastAsia="ko-KR"/>
        </w:rPr>
        <w:t xml:space="preserve">RAN node: </w:t>
      </w:r>
    </w:p>
    <w:p w14:paraId="330600BB" w14:textId="0451BBAA" w:rsidR="00077884" w:rsidRPr="00A3495B" w:rsidRDefault="00077884" w:rsidP="00077884">
      <w:pPr>
        <w:pStyle w:val="ListParagraph"/>
        <w:numPr>
          <w:ilvl w:val="0"/>
          <w:numId w:val="17"/>
        </w:numPr>
        <w:rPr>
          <w:rFonts w:eastAsia="Times New Roman"/>
          <w:color w:val="auto"/>
          <w:lang w:eastAsia="en-GB"/>
        </w:rPr>
      </w:pPr>
      <w:r>
        <w:rPr>
          <w:rFonts w:eastAsia="Times New Roman"/>
          <w:color w:val="auto"/>
          <w:lang w:eastAsia="en-GB"/>
        </w:rPr>
        <w:t xml:space="preserve">Supports </w:t>
      </w:r>
      <w:r>
        <w:rPr>
          <w:rFonts w:eastAsiaTheme="minorEastAsia" w:hint="eastAsia"/>
          <w:color w:val="auto"/>
          <w:lang w:eastAsia="ko-KR"/>
        </w:rPr>
        <w:t>performing the gNB level aggregation according to the aggregation rule provided by the network.</w:t>
      </w:r>
      <w:r>
        <w:rPr>
          <w:rFonts w:eastAsia="Times New Roman"/>
          <w:color w:val="auto"/>
          <w:lang w:eastAsia="en-GB"/>
        </w:rPr>
        <w:t xml:space="preserve"> </w:t>
      </w: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953F7"/>
    <w:multiLevelType w:val="hybridMultilevel"/>
    <w:tmpl w:val="F44A66E0"/>
    <w:lvl w:ilvl="0" w:tplc="A58EE25C">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1F1A74"/>
    <w:multiLevelType w:val="hybridMultilevel"/>
    <w:tmpl w:val="158A9E3A"/>
    <w:lvl w:ilvl="0" w:tplc="A58EE25C">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94F4A"/>
    <w:multiLevelType w:val="hybridMultilevel"/>
    <w:tmpl w:val="4996880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57918"/>
    <w:multiLevelType w:val="hybridMultilevel"/>
    <w:tmpl w:val="AE9C4316"/>
    <w:lvl w:ilvl="0" w:tplc="A58EE25C">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2"/>
  </w:num>
  <w:num w:numId="3" w16cid:durableId="1576084102">
    <w:abstractNumId w:val="4"/>
  </w:num>
  <w:num w:numId="4" w16cid:durableId="1070738748">
    <w:abstractNumId w:val="25"/>
  </w:num>
  <w:num w:numId="5" w16cid:durableId="733085804">
    <w:abstractNumId w:val="10"/>
  </w:num>
  <w:num w:numId="6" w16cid:durableId="1496917471">
    <w:abstractNumId w:val="5"/>
  </w:num>
  <w:num w:numId="7" w16cid:durableId="1727752841">
    <w:abstractNumId w:val="0"/>
  </w:num>
  <w:num w:numId="8" w16cid:durableId="596862759">
    <w:abstractNumId w:val="17"/>
  </w:num>
  <w:num w:numId="9" w16cid:durableId="1334338541">
    <w:abstractNumId w:val="24"/>
  </w:num>
  <w:num w:numId="10" w16cid:durableId="941692267">
    <w:abstractNumId w:val="2"/>
  </w:num>
  <w:num w:numId="11" w16cid:durableId="1931542714">
    <w:abstractNumId w:val="26"/>
  </w:num>
  <w:num w:numId="12" w16cid:durableId="835727199">
    <w:abstractNumId w:val="16"/>
  </w:num>
  <w:num w:numId="13" w16cid:durableId="1759130465">
    <w:abstractNumId w:val="21"/>
  </w:num>
  <w:num w:numId="14" w16cid:durableId="40908243">
    <w:abstractNumId w:val="6"/>
  </w:num>
  <w:num w:numId="15" w16cid:durableId="854273442">
    <w:abstractNumId w:val="11"/>
  </w:num>
  <w:num w:numId="16" w16cid:durableId="1756978711">
    <w:abstractNumId w:val="19"/>
  </w:num>
  <w:num w:numId="17" w16cid:durableId="755440601">
    <w:abstractNumId w:val="8"/>
  </w:num>
  <w:num w:numId="18" w16cid:durableId="955718351">
    <w:abstractNumId w:val="14"/>
  </w:num>
  <w:num w:numId="19" w16cid:durableId="205143214">
    <w:abstractNumId w:val="20"/>
  </w:num>
  <w:num w:numId="20" w16cid:durableId="84696834">
    <w:abstractNumId w:val="12"/>
  </w:num>
  <w:num w:numId="21" w16cid:durableId="1910184973">
    <w:abstractNumId w:val="18"/>
  </w:num>
  <w:num w:numId="22" w16cid:durableId="1801528950">
    <w:abstractNumId w:val="9"/>
  </w:num>
  <w:num w:numId="23" w16cid:durableId="1466268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5595367">
    <w:abstractNumId w:val="13"/>
  </w:num>
  <w:num w:numId="25" w16cid:durableId="305400882">
    <w:abstractNumId w:val="7"/>
  </w:num>
  <w:num w:numId="26" w16cid:durableId="1668512169">
    <w:abstractNumId w:val="1"/>
  </w:num>
  <w:num w:numId="27" w16cid:durableId="3433618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1469D"/>
    <w:rsid w:val="00030327"/>
    <w:rsid w:val="00046D94"/>
    <w:rsid w:val="00060827"/>
    <w:rsid w:val="00063B9C"/>
    <w:rsid w:val="00077884"/>
    <w:rsid w:val="000A557E"/>
    <w:rsid w:val="000A7B7E"/>
    <w:rsid w:val="000C01AA"/>
    <w:rsid w:val="000D3A42"/>
    <w:rsid w:val="001315B4"/>
    <w:rsid w:val="00135E7B"/>
    <w:rsid w:val="00157F9C"/>
    <w:rsid w:val="00171B7D"/>
    <w:rsid w:val="00172C4D"/>
    <w:rsid w:val="001743DD"/>
    <w:rsid w:val="00181831"/>
    <w:rsid w:val="001D561A"/>
    <w:rsid w:val="00203A52"/>
    <w:rsid w:val="002423B7"/>
    <w:rsid w:val="002561F3"/>
    <w:rsid w:val="002633F8"/>
    <w:rsid w:val="00263B1E"/>
    <w:rsid w:val="002827DA"/>
    <w:rsid w:val="0029173B"/>
    <w:rsid w:val="002A58DC"/>
    <w:rsid w:val="002B5F9F"/>
    <w:rsid w:val="002D1586"/>
    <w:rsid w:val="002E280F"/>
    <w:rsid w:val="002F52B7"/>
    <w:rsid w:val="0031545C"/>
    <w:rsid w:val="003401D0"/>
    <w:rsid w:val="0036019C"/>
    <w:rsid w:val="0038132A"/>
    <w:rsid w:val="00390283"/>
    <w:rsid w:val="003D2F9C"/>
    <w:rsid w:val="003D6FF3"/>
    <w:rsid w:val="003F1C6F"/>
    <w:rsid w:val="00421ADF"/>
    <w:rsid w:val="00421E87"/>
    <w:rsid w:val="00427857"/>
    <w:rsid w:val="004336C2"/>
    <w:rsid w:val="004471CA"/>
    <w:rsid w:val="00464FD0"/>
    <w:rsid w:val="00470C32"/>
    <w:rsid w:val="00477B14"/>
    <w:rsid w:val="004B4CA2"/>
    <w:rsid w:val="004F450E"/>
    <w:rsid w:val="00514C07"/>
    <w:rsid w:val="00551152"/>
    <w:rsid w:val="0059455D"/>
    <w:rsid w:val="00594D4E"/>
    <w:rsid w:val="005B3412"/>
    <w:rsid w:val="005B64D8"/>
    <w:rsid w:val="005C2ED9"/>
    <w:rsid w:val="005E3842"/>
    <w:rsid w:val="005E40A8"/>
    <w:rsid w:val="00604F19"/>
    <w:rsid w:val="006071E6"/>
    <w:rsid w:val="00625A6B"/>
    <w:rsid w:val="00631551"/>
    <w:rsid w:val="006319D4"/>
    <w:rsid w:val="00642780"/>
    <w:rsid w:val="00657F4D"/>
    <w:rsid w:val="006A5B8E"/>
    <w:rsid w:val="006B03AF"/>
    <w:rsid w:val="006D66D7"/>
    <w:rsid w:val="006F42B7"/>
    <w:rsid w:val="00705604"/>
    <w:rsid w:val="0071701D"/>
    <w:rsid w:val="00745FC6"/>
    <w:rsid w:val="0075663F"/>
    <w:rsid w:val="007739A7"/>
    <w:rsid w:val="00792A68"/>
    <w:rsid w:val="0079448B"/>
    <w:rsid w:val="00794773"/>
    <w:rsid w:val="007B7D83"/>
    <w:rsid w:val="007D7FA1"/>
    <w:rsid w:val="007E4583"/>
    <w:rsid w:val="00820664"/>
    <w:rsid w:val="00824CCC"/>
    <w:rsid w:val="00844319"/>
    <w:rsid w:val="00844E50"/>
    <w:rsid w:val="00852369"/>
    <w:rsid w:val="0088565F"/>
    <w:rsid w:val="008B7716"/>
    <w:rsid w:val="008B7D2A"/>
    <w:rsid w:val="008C5660"/>
    <w:rsid w:val="008C675B"/>
    <w:rsid w:val="008C68D4"/>
    <w:rsid w:val="008D27CC"/>
    <w:rsid w:val="008E2C8E"/>
    <w:rsid w:val="008E3FF3"/>
    <w:rsid w:val="00910FB1"/>
    <w:rsid w:val="0094506A"/>
    <w:rsid w:val="009471C8"/>
    <w:rsid w:val="00963F00"/>
    <w:rsid w:val="009B187A"/>
    <w:rsid w:val="009B7BC0"/>
    <w:rsid w:val="009D7172"/>
    <w:rsid w:val="009E302F"/>
    <w:rsid w:val="009F6257"/>
    <w:rsid w:val="00A01F41"/>
    <w:rsid w:val="00A04654"/>
    <w:rsid w:val="00A04FE8"/>
    <w:rsid w:val="00A26742"/>
    <w:rsid w:val="00A32367"/>
    <w:rsid w:val="00A3495B"/>
    <w:rsid w:val="00A34DF0"/>
    <w:rsid w:val="00A47AFC"/>
    <w:rsid w:val="00A56548"/>
    <w:rsid w:val="00A71A86"/>
    <w:rsid w:val="00A85195"/>
    <w:rsid w:val="00AA105E"/>
    <w:rsid w:val="00AC1C71"/>
    <w:rsid w:val="00AC1D4E"/>
    <w:rsid w:val="00AD45EC"/>
    <w:rsid w:val="00AE0975"/>
    <w:rsid w:val="00AE2D49"/>
    <w:rsid w:val="00B36A64"/>
    <w:rsid w:val="00B50231"/>
    <w:rsid w:val="00B52872"/>
    <w:rsid w:val="00B61E6A"/>
    <w:rsid w:val="00B705A4"/>
    <w:rsid w:val="00B75197"/>
    <w:rsid w:val="00B77297"/>
    <w:rsid w:val="00BA41A0"/>
    <w:rsid w:val="00BA4488"/>
    <w:rsid w:val="00BA466B"/>
    <w:rsid w:val="00BA5DC9"/>
    <w:rsid w:val="00BB77AF"/>
    <w:rsid w:val="00BC2DBD"/>
    <w:rsid w:val="00BD4E55"/>
    <w:rsid w:val="00C17285"/>
    <w:rsid w:val="00C440AD"/>
    <w:rsid w:val="00C5120F"/>
    <w:rsid w:val="00C65629"/>
    <w:rsid w:val="00C67714"/>
    <w:rsid w:val="00C7040D"/>
    <w:rsid w:val="00C7362A"/>
    <w:rsid w:val="00C94F7E"/>
    <w:rsid w:val="00CD045A"/>
    <w:rsid w:val="00CD0E5E"/>
    <w:rsid w:val="00CE31BD"/>
    <w:rsid w:val="00D10AEB"/>
    <w:rsid w:val="00D370A7"/>
    <w:rsid w:val="00D70E9D"/>
    <w:rsid w:val="00D92205"/>
    <w:rsid w:val="00D950FB"/>
    <w:rsid w:val="00DB7AF0"/>
    <w:rsid w:val="00DC27DF"/>
    <w:rsid w:val="00DC43D1"/>
    <w:rsid w:val="00DD2832"/>
    <w:rsid w:val="00DD2FB1"/>
    <w:rsid w:val="00DE00CD"/>
    <w:rsid w:val="00E068C8"/>
    <w:rsid w:val="00E401BF"/>
    <w:rsid w:val="00E44176"/>
    <w:rsid w:val="00E6566F"/>
    <w:rsid w:val="00E825A3"/>
    <w:rsid w:val="00EA6164"/>
    <w:rsid w:val="00EB7EB4"/>
    <w:rsid w:val="00EC35A5"/>
    <w:rsid w:val="00EE476A"/>
    <w:rsid w:val="00EE6CE3"/>
    <w:rsid w:val="00F15656"/>
    <w:rsid w:val="00F545D3"/>
    <w:rsid w:val="00F739C2"/>
    <w:rsid w:val="00F803C9"/>
    <w:rsid w:val="00F8170D"/>
    <w:rsid w:val="00FC7751"/>
    <w:rsid w:val="00FE4147"/>
    <w:rsid w:val="00FE47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RBI5PAMIO524-1616901215-29970</_dlc_DocId>
    <_dlc_DocIdUrl xmlns="71c5aaf6-e6ce-465b-b873-5148d2a4c105">
      <Url>https://nokia.sharepoint.com/sites/gxp/_layouts/15/DocIdRedir.aspx?ID=RBI5PAMIO524-1616901215-29970</Url>
      <Description>RBI5PAMIO524-1616901215-29970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3B5F881A-66BF-4386-85CA-CE8A8938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3393</TotalTime>
  <Pages>4</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93</cp:revision>
  <dcterms:created xsi:type="dcterms:W3CDTF">2024-02-07T02:23:00Z</dcterms:created>
  <dcterms:modified xsi:type="dcterms:W3CDTF">2024-10-04T04:22:00Z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9bdb6bc2-be72-4286-a1ef-8a4efb6e8411</vt:lpwstr>
  </property>
  <property fmtid="{D5CDD505-2E9C-101B-9397-08002B2CF9AE}" pid="4" name="MediaServiceImageTags">
    <vt:lpwstr/>
  </property>
</Properties>
</file>